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Action Item: </w:t>
      </w:r>
      <w:r w:rsidDel="00000000" w:rsidR="00000000" w:rsidRPr="00000000">
        <w:rPr>
          <w:rtl w:val="0"/>
        </w:rPr>
        <w:t xml:space="preserve">Approve the Special Education Compliance Plan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AFIA adopts the following Model Compliance Plan made available by the Department of Elementary and Secondary Education: </w:t>
      </w:r>
      <w:hyperlink r:id="rId6">
        <w:r w:rsidDel="00000000" w:rsidR="00000000" w:rsidRPr="00000000">
          <w:rPr>
            <w:color w:val="1155cc"/>
            <w:u w:val="single"/>
            <w:rtl w:val="0"/>
          </w:rPr>
          <w:t xml:space="preserve">https://drive.google.com/file/d/1M5u_ulJWgso3YBOyMZD_UKL29kQ-d_9g/view?usp=drive_link</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Resources:</w:t>
      </w:r>
    </w:p>
    <w:p w:rsidR="00000000" w:rsidDel="00000000" w:rsidP="00000000" w:rsidRDefault="00000000" w:rsidRPr="00000000" w14:paraId="00000006">
      <w:pPr>
        <w:rPr/>
      </w:pPr>
      <w:r w:rsidDel="00000000" w:rsidR="00000000" w:rsidRPr="00000000">
        <w:rPr>
          <w:rtl w:val="0"/>
        </w:rPr>
        <w:t xml:space="preserve">Local Compliance Plan with Missouri State Regulations: </w:t>
      </w:r>
    </w:p>
    <w:p w:rsidR="00000000" w:rsidDel="00000000" w:rsidP="00000000" w:rsidRDefault="00000000" w:rsidRPr="00000000" w14:paraId="00000007">
      <w:pPr>
        <w:rPr/>
      </w:pPr>
      <w:hyperlink r:id="rId7">
        <w:r w:rsidDel="00000000" w:rsidR="00000000" w:rsidRPr="00000000">
          <w:rPr>
            <w:color w:val="1155cc"/>
            <w:u w:val="single"/>
            <w:rtl w:val="0"/>
          </w:rPr>
          <w:t xml:space="preserve">https://drive.google.com/file/d/1M5u_ulJWgso3YBOyMZD_UKL29kQ-d_9g/view?usp=drive_link</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Overview of changes to the Local Compliance Plan: </w:t>
      </w:r>
      <w:hyperlink r:id="rId8">
        <w:r w:rsidDel="00000000" w:rsidR="00000000" w:rsidRPr="00000000">
          <w:rPr>
            <w:color w:val="1155cc"/>
            <w:u w:val="single"/>
            <w:rtl w:val="0"/>
          </w:rPr>
          <w:t xml:space="preserve">https://drive.google.com/file/d/1cSUyTlju55Q_2vK1-ZyQjXkduTO2Y9z3/view?usp=drive_link</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Local Compliance Plan Certification Statement: </w:t>
      </w:r>
      <w:hyperlink r:id="rId9">
        <w:r w:rsidDel="00000000" w:rsidR="00000000" w:rsidRPr="00000000">
          <w:rPr>
            <w:color w:val="1155cc"/>
            <w:u w:val="single"/>
            <w:rtl w:val="0"/>
          </w:rPr>
          <w:t xml:space="preserve">https://drive.google.com/file/d/1PGk1gd9TsvWfkqrVI6-yQWffiyXspfGh/view?usp=sharing</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DETERMINATION OF ELIGIBILITY (34 CFR 300.306)</w:t>
      </w:r>
    </w:p>
    <w:p w:rsidR="00000000" w:rsidDel="00000000" w:rsidP="00000000" w:rsidRDefault="00000000" w:rsidRPr="00000000" w14:paraId="0000000F">
      <w:pPr>
        <w:rPr>
          <w:u w:val="single"/>
        </w:rPr>
      </w:pPr>
      <w:r w:rsidDel="00000000" w:rsidR="00000000" w:rsidRPr="00000000">
        <w:rPr>
          <w:u w:val="single"/>
          <w:rtl w:val="0"/>
        </w:rPr>
        <w:t xml:space="preserve">Determination of Eligibility for Young Children Ages 3 Through 5</w:t>
      </w:r>
    </w:p>
    <w:p w:rsidR="00000000" w:rsidDel="00000000" w:rsidP="00000000" w:rsidRDefault="00000000" w:rsidRPr="00000000" w14:paraId="00000010">
      <w:pPr>
        <w:rPr/>
      </w:pPr>
      <w:r w:rsidDel="00000000" w:rsidR="00000000" w:rsidRPr="00000000">
        <w:rPr>
          <w:rtl w:val="0"/>
        </w:rPr>
        <w:t xml:space="preserve">(to) Identify all children as eligible using only the category of Young Children with Developmental Delay</w:t>
      </w:r>
    </w:p>
    <w:p w:rsidR="00000000" w:rsidDel="00000000" w:rsidP="00000000" w:rsidRDefault="00000000" w:rsidRPr="00000000" w14:paraId="00000011">
      <w:pPr>
        <w:rPr/>
      </w:pPr>
      <w:r w:rsidDel="00000000" w:rsidR="00000000" w:rsidRPr="00000000">
        <w:rPr>
          <w:rtl w:val="0"/>
        </w:rPr>
        <w:t xml:space="preserve">(and to) Continue a child as eligible using Young Child with a Developmental Delay or apply any of the other disability categories</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PURCHASE OF INSTRUCTIONAL MATERIALS (34 CFR 300.210)  </w:t>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This public agency is not required to coordinate with the NIMAC.  If this public agency chooses not to coordinate with the NIMAC, this public agency must provide an assurance to DESE that this public agency will provide instructional materials to blind persons or other persons with print disabilities in a timely manner.  “In a timely manner” means that the public agency has taken all reasonable steps to ensure that students with print disabilities have accessible materials at the same time their fellow students without disabilities have their materials.</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PGk1gd9TsvWfkqrVI6-yQWffiyXspfGh/view?usp=sharing" TargetMode="External"/><Relationship Id="rId5" Type="http://schemas.openxmlformats.org/officeDocument/2006/relationships/styles" Target="styles.xml"/><Relationship Id="rId6" Type="http://schemas.openxmlformats.org/officeDocument/2006/relationships/hyperlink" Target="https://drive.google.com/file/d/1M5u_ulJWgso3YBOyMZD_UKL29kQ-d_9g/view?usp=drive_link" TargetMode="External"/><Relationship Id="rId7" Type="http://schemas.openxmlformats.org/officeDocument/2006/relationships/hyperlink" Target="https://drive.google.com/file/d/1M5u_ulJWgso3YBOyMZD_UKL29kQ-d_9g/view?usp=drive_link" TargetMode="External"/><Relationship Id="rId8" Type="http://schemas.openxmlformats.org/officeDocument/2006/relationships/hyperlink" Target="https://drive.google.com/file/d/1cSUyTlju55Q_2vK1-ZyQjXkduTO2Y9z3/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